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73D1" w14:textId="77777777" w:rsidR="00DD191F" w:rsidRPr="00CA3356" w:rsidRDefault="00DD191F" w:rsidP="00471374">
      <w:pPr>
        <w:jc w:val="center"/>
        <w:rPr>
          <w:b/>
          <w:sz w:val="28"/>
          <w:szCs w:val="28"/>
        </w:rPr>
      </w:pPr>
      <w:r w:rsidRPr="00CA3356">
        <w:rPr>
          <w:b/>
          <w:sz w:val="28"/>
          <w:szCs w:val="28"/>
        </w:rPr>
        <w:t>Phụ lục I</w:t>
      </w:r>
    </w:p>
    <w:p w14:paraId="7F4537E0" w14:textId="3786EE58" w:rsidR="00471374" w:rsidRPr="00515EBD" w:rsidRDefault="00DD191F" w:rsidP="00515EBD">
      <w:pPr>
        <w:jc w:val="center"/>
        <w:rPr>
          <w:rFonts w:ascii="Times New Roman Bold" w:hAnsi="Times New Roman Bold"/>
          <w:b/>
          <w:spacing w:val="-4"/>
          <w:sz w:val="28"/>
          <w:szCs w:val="28"/>
        </w:rPr>
      </w:pPr>
      <w:r w:rsidRPr="00515EBD">
        <w:rPr>
          <w:rFonts w:ascii="Times New Roman Bold" w:hAnsi="Times New Roman Bold"/>
          <w:b/>
          <w:spacing w:val="-4"/>
          <w:sz w:val="28"/>
          <w:szCs w:val="28"/>
        </w:rPr>
        <w:t>SỬA ĐỔI</w:t>
      </w:r>
      <w:r w:rsidR="00F46D88" w:rsidRPr="00515EBD">
        <w:rPr>
          <w:rFonts w:ascii="Times New Roman Bold" w:hAnsi="Times New Roman Bold"/>
          <w:b/>
          <w:spacing w:val="-4"/>
          <w:sz w:val="28"/>
          <w:szCs w:val="28"/>
        </w:rPr>
        <w:t xml:space="preserve"> </w:t>
      </w:r>
      <w:r w:rsidR="00720F75" w:rsidRPr="00515EBD">
        <w:rPr>
          <w:rFonts w:ascii="Times New Roman Bold" w:hAnsi="Times New Roman Bold"/>
          <w:b/>
          <w:spacing w:val="-4"/>
          <w:sz w:val="28"/>
          <w:szCs w:val="28"/>
        </w:rPr>
        <w:t>MỘT SỐ</w:t>
      </w:r>
      <w:bookmarkStart w:id="0" w:name="_Hlk139902868"/>
      <w:r w:rsidR="00B6632B" w:rsidRPr="00515EBD">
        <w:rPr>
          <w:rFonts w:ascii="Times New Roman Bold" w:hAnsi="Times New Roman Bold"/>
          <w:b/>
          <w:spacing w:val="-4"/>
          <w:sz w:val="28"/>
          <w:szCs w:val="28"/>
        </w:rPr>
        <w:t xml:space="preserve"> TIÊU CHÍ</w:t>
      </w:r>
      <w:r w:rsidR="00E407FE">
        <w:rPr>
          <w:rFonts w:ascii="Times New Roman Bold" w:hAnsi="Times New Roman Bold"/>
          <w:b/>
          <w:spacing w:val="-4"/>
          <w:sz w:val="28"/>
          <w:szCs w:val="28"/>
        </w:rPr>
        <w:t>, CHỈ TIÊU</w:t>
      </w:r>
      <w:r w:rsidRPr="00515EBD">
        <w:rPr>
          <w:rFonts w:ascii="Times New Roman Bold" w:hAnsi="Times New Roman Bold"/>
          <w:b/>
          <w:spacing w:val="-4"/>
          <w:sz w:val="28"/>
          <w:szCs w:val="28"/>
        </w:rPr>
        <w:t xml:space="preserve"> </w:t>
      </w:r>
      <w:bookmarkEnd w:id="0"/>
      <w:r w:rsidRPr="00515EBD">
        <w:rPr>
          <w:rFonts w:ascii="Times New Roman Bold" w:hAnsi="Times New Roman Bold"/>
          <w:b/>
          <w:spacing w:val="-4"/>
          <w:sz w:val="28"/>
          <w:szCs w:val="28"/>
        </w:rPr>
        <w:t>CỦA BỘ TIÊU CHÍ QUỐC GIA VỀ XÃ NÔNG THÔN MỚI GIAI ĐOẠN 2021</w:t>
      </w:r>
      <w:r w:rsidR="00FC35F6" w:rsidRPr="00515EBD">
        <w:rPr>
          <w:rFonts w:ascii="Times New Roman Bold" w:hAnsi="Times New Roman Bold"/>
          <w:b/>
          <w:spacing w:val="-4"/>
          <w:sz w:val="28"/>
          <w:szCs w:val="28"/>
        </w:rPr>
        <w:t xml:space="preserve"> </w:t>
      </w:r>
      <w:r w:rsidRPr="00515EBD">
        <w:rPr>
          <w:rFonts w:ascii="Times New Roman Bold" w:hAnsi="Times New Roman Bold"/>
          <w:b/>
          <w:spacing w:val="-4"/>
          <w:sz w:val="28"/>
          <w:szCs w:val="28"/>
        </w:rPr>
        <w:t>-</w:t>
      </w:r>
      <w:r w:rsidR="00FC35F6" w:rsidRPr="00515EBD">
        <w:rPr>
          <w:rFonts w:ascii="Times New Roman Bold" w:hAnsi="Times New Roman Bold"/>
          <w:b/>
          <w:spacing w:val="-4"/>
          <w:sz w:val="28"/>
          <w:szCs w:val="28"/>
        </w:rPr>
        <w:t xml:space="preserve"> </w:t>
      </w:r>
      <w:r w:rsidRPr="00515EBD">
        <w:rPr>
          <w:rFonts w:ascii="Times New Roman Bold" w:hAnsi="Times New Roman Bold"/>
          <w:b/>
          <w:spacing w:val="-4"/>
          <w:sz w:val="28"/>
          <w:szCs w:val="28"/>
        </w:rPr>
        <w:t>2025</w:t>
      </w:r>
      <w:r w:rsidR="00720F75" w:rsidRPr="00515EBD">
        <w:rPr>
          <w:rFonts w:ascii="Times New Roman Bold" w:hAnsi="Times New Roman Bold"/>
          <w:b/>
          <w:spacing w:val="-4"/>
          <w:sz w:val="28"/>
          <w:szCs w:val="28"/>
        </w:rPr>
        <w:t xml:space="preserve"> </w:t>
      </w:r>
      <w:r w:rsidR="005552AB" w:rsidRPr="00515EBD">
        <w:rPr>
          <w:rFonts w:ascii="Times New Roman Bold" w:hAnsi="Times New Roman Bold"/>
          <w:b/>
          <w:spacing w:val="-4"/>
          <w:sz w:val="28"/>
          <w:szCs w:val="28"/>
        </w:rPr>
        <w:t>BAN HÀNH KÈM THEO</w:t>
      </w:r>
      <w:r w:rsidR="00624D3B" w:rsidRPr="00515EBD">
        <w:rPr>
          <w:rFonts w:ascii="Times New Roman Bold" w:hAnsi="Times New Roman Bold"/>
          <w:b/>
          <w:spacing w:val="-4"/>
          <w:sz w:val="28"/>
          <w:szCs w:val="28"/>
        </w:rPr>
        <w:t xml:space="preserve"> </w:t>
      </w:r>
      <w:r w:rsidR="00720F75" w:rsidRPr="00515EBD">
        <w:rPr>
          <w:rFonts w:ascii="Times New Roman Bold" w:hAnsi="Times New Roman Bold"/>
          <w:b/>
          <w:spacing w:val="-4"/>
          <w:sz w:val="28"/>
          <w:szCs w:val="28"/>
        </w:rPr>
        <w:t xml:space="preserve">QUYẾT ĐỊNH SỐ 318/QĐ-TTg NGÀY 08 THÁNG 3 NĂM 2022 </w:t>
      </w:r>
    </w:p>
    <w:p w14:paraId="62DD084F" w14:textId="7189FC66" w:rsidR="00DD191F" w:rsidRPr="00CA3356" w:rsidRDefault="00720F75" w:rsidP="00471374">
      <w:pPr>
        <w:spacing w:after="120"/>
        <w:jc w:val="center"/>
        <w:rPr>
          <w:b/>
          <w:sz w:val="28"/>
          <w:szCs w:val="28"/>
        </w:rPr>
      </w:pPr>
      <w:r w:rsidRPr="00CA3356">
        <w:rPr>
          <w:b/>
          <w:sz w:val="28"/>
          <w:szCs w:val="28"/>
        </w:rPr>
        <w:t xml:space="preserve">CỦA THỦ TƯỚNG CHÍNH PHỦ </w:t>
      </w:r>
    </w:p>
    <w:p w14:paraId="54949803" w14:textId="42E1060B" w:rsidR="00DD191F" w:rsidRPr="00CA3356" w:rsidRDefault="00DD191F" w:rsidP="00DD191F">
      <w:pPr>
        <w:jc w:val="center"/>
        <w:rPr>
          <w:bCs/>
          <w:i/>
          <w:iCs/>
          <w:sz w:val="28"/>
          <w:szCs w:val="28"/>
        </w:rPr>
      </w:pPr>
      <w:r w:rsidRPr="00CA3356">
        <w:rPr>
          <w:bCs/>
          <w:i/>
          <w:iCs/>
          <w:sz w:val="28"/>
          <w:szCs w:val="28"/>
        </w:rPr>
        <w:t xml:space="preserve">(Kèm theo Quyết định số:               /QĐ-TTg </w:t>
      </w:r>
    </w:p>
    <w:p w14:paraId="639898B5" w14:textId="302178FD" w:rsidR="00DD191F" w:rsidRPr="00CA3356" w:rsidRDefault="00DD191F" w:rsidP="00DD191F">
      <w:pPr>
        <w:jc w:val="center"/>
        <w:rPr>
          <w:bCs/>
          <w:i/>
          <w:iCs/>
          <w:sz w:val="28"/>
          <w:szCs w:val="28"/>
        </w:rPr>
      </w:pPr>
      <w:r w:rsidRPr="00CA3356">
        <w:rPr>
          <w:bCs/>
          <w:i/>
          <w:iCs/>
          <w:sz w:val="28"/>
          <w:szCs w:val="28"/>
        </w:rPr>
        <w:t>ngày         tháng         năm 2023 của Thủ tướng Chính phủ)</w:t>
      </w:r>
    </w:p>
    <w:p w14:paraId="5EC56180" w14:textId="49E4BAEA" w:rsidR="001205A5" w:rsidRPr="00CA3356" w:rsidRDefault="004B02D0" w:rsidP="00DD191F">
      <w:pPr>
        <w:jc w:val="center"/>
      </w:pPr>
      <w:r w:rsidRPr="00CA335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39233" wp14:editId="3A428F4E">
                <wp:simplePos x="0" y="0"/>
                <wp:positionH relativeFrom="column">
                  <wp:posOffset>2032635</wp:posOffset>
                </wp:positionH>
                <wp:positionV relativeFrom="paragraph">
                  <wp:posOffset>34763</wp:posOffset>
                </wp:positionV>
                <wp:extent cx="1796902" cy="0"/>
                <wp:effectExtent l="0" t="0" r="0" b="0"/>
                <wp:wrapNone/>
                <wp:docPr id="13211045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9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7CBAA4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2.75pt" to="301.5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021E7ADD" w14:textId="77777777" w:rsidR="00CC4EC0" w:rsidRPr="00CA3356" w:rsidRDefault="00CC4EC0"/>
    <w:p w14:paraId="361BB9B4" w14:textId="060E5C76" w:rsidR="00C85A5B" w:rsidRPr="00CA3356" w:rsidRDefault="00C85A5B" w:rsidP="00C85A5B">
      <w:pPr>
        <w:spacing w:after="120" w:line="340" w:lineRule="atLeast"/>
        <w:ind w:firstLine="720"/>
        <w:jc w:val="both"/>
      </w:pPr>
      <w:r w:rsidRPr="00CA3356">
        <w:rPr>
          <w:sz w:val="28"/>
          <w:szCs w:val="28"/>
        </w:rPr>
        <w:t xml:space="preserve">1. Sửa đổi </w:t>
      </w:r>
      <w:r w:rsidR="00D22E24">
        <w:rPr>
          <w:sz w:val="28"/>
          <w:szCs w:val="28"/>
        </w:rPr>
        <w:t xml:space="preserve">chỉ tiêu 13.1 thuộc </w:t>
      </w:r>
      <w:r w:rsidRPr="00CA3356">
        <w:rPr>
          <w:sz w:val="28"/>
          <w:szCs w:val="28"/>
        </w:rPr>
        <w:t>tiêu chí số 13 về Tổ chức sản xuất và phát triển kinh tế nông thôn như sau:</w:t>
      </w:r>
    </w:p>
    <w:tbl>
      <w:tblPr>
        <w:tblW w:w="10348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229"/>
        <w:gridCol w:w="855"/>
        <w:gridCol w:w="851"/>
        <w:gridCol w:w="851"/>
        <w:gridCol w:w="851"/>
        <w:gridCol w:w="851"/>
        <w:gridCol w:w="851"/>
        <w:gridCol w:w="734"/>
        <w:gridCol w:w="857"/>
      </w:tblGrid>
      <w:tr w:rsidR="00CA3356" w:rsidRPr="00CA3356" w14:paraId="4E75F42F" w14:textId="77777777" w:rsidTr="00515EBD">
        <w:trPr>
          <w:trHeight w:val="533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0AFEE27" w14:textId="77777777" w:rsidR="00C85A5B" w:rsidRPr="00CA3356" w:rsidRDefault="00C85A5B" w:rsidP="00F67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8503E1C" w14:textId="77777777" w:rsidR="00C85A5B" w:rsidRPr="00CA3356" w:rsidRDefault="00C85A5B" w:rsidP="00F67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>Tên tiêu chí</w:t>
            </w:r>
          </w:p>
        </w:tc>
        <w:tc>
          <w:tcPr>
            <w:tcW w:w="2229" w:type="dxa"/>
            <w:vMerge w:val="restart"/>
            <w:shd w:val="clear" w:color="auto" w:fill="auto"/>
            <w:vAlign w:val="center"/>
          </w:tcPr>
          <w:p w14:paraId="196BA040" w14:textId="77777777" w:rsidR="00C85A5B" w:rsidRPr="00CA3356" w:rsidRDefault="00C85A5B" w:rsidP="00F67540">
            <w:pPr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>Nội dung tiêu chí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50EF7630" w14:textId="77777777" w:rsidR="00C85A5B" w:rsidRPr="00CA3356" w:rsidRDefault="00C85A5B" w:rsidP="00F67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>Chỉ tiêu chung</w:t>
            </w:r>
          </w:p>
        </w:tc>
        <w:tc>
          <w:tcPr>
            <w:tcW w:w="5846" w:type="dxa"/>
            <w:gridSpan w:val="7"/>
            <w:shd w:val="clear" w:color="auto" w:fill="auto"/>
            <w:vAlign w:val="center"/>
          </w:tcPr>
          <w:p w14:paraId="0D95FF75" w14:textId="77777777" w:rsidR="00C85A5B" w:rsidRPr="00CA3356" w:rsidRDefault="00C85A5B" w:rsidP="00F67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>Chỉ tiêu theo vùng</w:t>
            </w:r>
          </w:p>
        </w:tc>
      </w:tr>
      <w:tr w:rsidR="00CA3356" w:rsidRPr="00CA3356" w14:paraId="4707FC43" w14:textId="77777777" w:rsidTr="00515EBD">
        <w:trPr>
          <w:trHeight w:val="1728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1E259042" w14:textId="77777777" w:rsidR="00C85A5B" w:rsidRPr="00CA3356" w:rsidRDefault="00C85A5B" w:rsidP="00F675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21BFE02" w14:textId="77777777" w:rsidR="00C85A5B" w:rsidRPr="00CA3356" w:rsidRDefault="00C85A5B" w:rsidP="00F675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14:paraId="26EC57E3" w14:textId="77777777" w:rsidR="00C85A5B" w:rsidRPr="00CA3356" w:rsidRDefault="00C85A5B" w:rsidP="00F6754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53F46C0A" w14:textId="77777777" w:rsidR="00C85A5B" w:rsidRPr="00CA3356" w:rsidRDefault="00C85A5B" w:rsidP="00F675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E1ADE6" w14:textId="77777777" w:rsidR="00C85A5B" w:rsidRPr="00CA3356" w:rsidRDefault="00C85A5B" w:rsidP="00F67540">
            <w:pPr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CA3356">
              <w:rPr>
                <w:b/>
                <w:bCs/>
                <w:sz w:val="22"/>
                <w:szCs w:val="22"/>
                <w:lang w:val="de-DE"/>
              </w:rPr>
              <w:t>Trung du miền núi phía Bắc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D92A79" w14:textId="77777777" w:rsidR="00C85A5B" w:rsidRPr="00CA3356" w:rsidRDefault="00C85A5B" w:rsidP="00F67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>Đồng bằng sông Hồng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F163C" w14:textId="77777777" w:rsidR="00C85A5B" w:rsidRPr="00CA3356" w:rsidRDefault="00C85A5B" w:rsidP="00F67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>Bắc Trung Bộ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44D111" w14:textId="77777777" w:rsidR="00C85A5B" w:rsidRPr="00CA3356" w:rsidRDefault="00C85A5B" w:rsidP="00F67540">
            <w:pPr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CA3356">
              <w:rPr>
                <w:b/>
                <w:bCs/>
                <w:sz w:val="22"/>
                <w:szCs w:val="22"/>
                <w:lang w:val="de-DE"/>
              </w:rPr>
              <w:t>Duyên hải Nam Trung Bộ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1547C6" w14:textId="77777777" w:rsidR="00C85A5B" w:rsidRPr="00CA3356" w:rsidRDefault="00C85A5B" w:rsidP="00F67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 xml:space="preserve">Tây </w:t>
            </w:r>
            <w:r w:rsidRPr="00CA3356">
              <w:rPr>
                <w:rFonts w:ascii="Times New Roman Bold" w:hAnsi="Times New Roman Bold"/>
                <w:b/>
                <w:bCs/>
                <w:spacing w:val="-16"/>
                <w:sz w:val="22"/>
                <w:szCs w:val="22"/>
              </w:rPr>
              <w:t>Nguyên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56F6587" w14:textId="77777777" w:rsidR="00C85A5B" w:rsidRPr="00CA3356" w:rsidRDefault="00C85A5B" w:rsidP="00F67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>Đông Nam Bộ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D96A36A" w14:textId="77777777" w:rsidR="00C85A5B" w:rsidRPr="00CA3356" w:rsidRDefault="00C85A5B" w:rsidP="00F67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rFonts w:ascii="Times New Roman Bold" w:hAnsi="Times New Roman Bold"/>
                <w:b/>
                <w:bCs/>
                <w:spacing w:val="-10"/>
                <w:sz w:val="22"/>
                <w:szCs w:val="22"/>
              </w:rPr>
              <w:t>Đồng</w:t>
            </w:r>
            <w:r w:rsidRPr="00CA3356">
              <w:rPr>
                <w:b/>
                <w:bCs/>
                <w:sz w:val="22"/>
                <w:szCs w:val="22"/>
              </w:rPr>
              <w:t xml:space="preserve"> bằng sông Cửu Long</w:t>
            </w:r>
          </w:p>
        </w:tc>
      </w:tr>
      <w:tr w:rsidR="00CA3356" w:rsidRPr="00CA3356" w14:paraId="7E76A5FD" w14:textId="77777777" w:rsidTr="00515EBD">
        <w:trPr>
          <w:trHeight w:val="3040"/>
        </w:trPr>
        <w:tc>
          <w:tcPr>
            <w:tcW w:w="567" w:type="dxa"/>
            <w:shd w:val="clear" w:color="auto" w:fill="FFFFFF"/>
            <w:vAlign w:val="center"/>
          </w:tcPr>
          <w:p w14:paraId="18657FC4" w14:textId="77777777" w:rsidR="00C85A5B" w:rsidRPr="00CA3356" w:rsidRDefault="00C85A5B" w:rsidP="00F67540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8E34B7D" w14:textId="77777777" w:rsidR="00C85A5B" w:rsidRPr="00CA3356" w:rsidRDefault="00C85A5B" w:rsidP="00F67540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bCs/>
                <w:sz w:val="22"/>
                <w:szCs w:val="22"/>
              </w:rPr>
              <w:t xml:space="preserve">Tổ chức sản xuất </w:t>
            </w:r>
            <w:r w:rsidRPr="00CA3356">
              <w:rPr>
                <w:sz w:val="22"/>
                <w:szCs w:val="22"/>
                <w:lang w:val="da-DK"/>
              </w:rPr>
              <w:t>và phát triển kinh tế nông thôn</w:t>
            </w:r>
          </w:p>
        </w:tc>
        <w:tc>
          <w:tcPr>
            <w:tcW w:w="2229" w:type="dxa"/>
            <w:shd w:val="clear" w:color="auto" w:fill="FFFFFF"/>
            <w:vAlign w:val="center"/>
          </w:tcPr>
          <w:p w14:paraId="12D3A041" w14:textId="2E17C800" w:rsidR="00C85A5B" w:rsidRPr="00CA3356" w:rsidRDefault="00C85A5B" w:rsidP="00F67540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A3356">
              <w:rPr>
                <w:bCs/>
                <w:spacing w:val="-2"/>
                <w:sz w:val="22"/>
                <w:szCs w:val="22"/>
              </w:rPr>
              <w:t xml:space="preserve">13.1. Xã có hợp tác xã hoạt động hiệu quả và theo đúng quy định của Luật Hợp tác xã, hoặc xã có </w:t>
            </w:r>
            <w:r w:rsidR="007E6DAE" w:rsidRPr="00CA3356">
              <w:rPr>
                <w:bCs/>
                <w:spacing w:val="-2"/>
                <w:sz w:val="22"/>
                <w:szCs w:val="22"/>
              </w:rPr>
              <w:t>t</w:t>
            </w:r>
            <w:r w:rsidRPr="00CA3356">
              <w:rPr>
                <w:bCs/>
                <w:spacing w:val="-2"/>
                <w:sz w:val="22"/>
                <w:szCs w:val="22"/>
              </w:rPr>
              <w:t xml:space="preserve">ổ hợp tác hoạt động </w:t>
            </w:r>
            <w:r w:rsidR="008B2C39">
              <w:rPr>
                <w:bCs/>
                <w:spacing w:val="-2"/>
                <w:sz w:val="22"/>
                <w:szCs w:val="22"/>
              </w:rPr>
              <w:t>hiệu quả</w:t>
            </w:r>
            <w:r w:rsidR="000C52F9">
              <w:rPr>
                <w:bCs/>
                <w:spacing w:val="-2"/>
                <w:sz w:val="22"/>
                <w:szCs w:val="22"/>
              </w:rPr>
              <w:t xml:space="preserve">, </w:t>
            </w:r>
            <w:r w:rsidR="008B2C39">
              <w:rPr>
                <w:bCs/>
                <w:spacing w:val="-2"/>
                <w:sz w:val="22"/>
                <w:szCs w:val="22"/>
              </w:rPr>
              <w:t xml:space="preserve">theo </w:t>
            </w:r>
            <w:r w:rsidRPr="00CA3356">
              <w:rPr>
                <w:bCs/>
                <w:spacing w:val="-2"/>
                <w:sz w:val="22"/>
                <w:szCs w:val="22"/>
              </w:rPr>
              <w:t xml:space="preserve">đúng quy định </w:t>
            </w:r>
            <w:r w:rsidR="0048311E">
              <w:rPr>
                <w:bCs/>
                <w:spacing w:val="-2"/>
                <w:sz w:val="22"/>
                <w:szCs w:val="22"/>
              </w:rPr>
              <w:t xml:space="preserve">của </w:t>
            </w:r>
            <w:r w:rsidRPr="00CA3356">
              <w:rPr>
                <w:bCs/>
                <w:spacing w:val="-2"/>
                <w:sz w:val="22"/>
                <w:szCs w:val="22"/>
              </w:rPr>
              <w:t>pháp luật</w:t>
            </w:r>
            <w:r w:rsidR="00B20F64" w:rsidRPr="00CA3356">
              <w:rPr>
                <w:bCs/>
                <w:spacing w:val="-2"/>
                <w:sz w:val="22"/>
                <w:szCs w:val="22"/>
              </w:rPr>
              <w:t xml:space="preserve"> và có hợp đồng hợp tác, tiêu thụ sản phẩm chủ lực của địa phương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5BB786AC" w14:textId="77777777" w:rsidR="00C85A5B" w:rsidRPr="00CA3356" w:rsidRDefault="00C85A5B" w:rsidP="00F67540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bCs/>
                <w:sz w:val="22"/>
                <w:szCs w:val="22"/>
              </w:rPr>
              <w:t xml:space="preserve">Đạt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AB66301" w14:textId="77777777" w:rsidR="00C85A5B" w:rsidRPr="00CA3356" w:rsidRDefault="00C85A5B" w:rsidP="00F6754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bCs/>
                <w:sz w:val="22"/>
                <w:szCs w:val="22"/>
              </w:rPr>
              <w:t>Đạt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200F422" w14:textId="77777777" w:rsidR="00C85A5B" w:rsidRPr="00CA3356" w:rsidRDefault="00C85A5B" w:rsidP="00F6754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bCs/>
                <w:sz w:val="22"/>
                <w:szCs w:val="22"/>
              </w:rPr>
              <w:t>Đạt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9A27CDD" w14:textId="77777777" w:rsidR="00C85A5B" w:rsidRPr="00CA3356" w:rsidRDefault="00C85A5B" w:rsidP="00F6754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bCs/>
                <w:sz w:val="22"/>
                <w:szCs w:val="22"/>
              </w:rPr>
              <w:t>Đạt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9D1330" w14:textId="77777777" w:rsidR="00C85A5B" w:rsidRPr="00CA3356" w:rsidRDefault="00C85A5B" w:rsidP="00F6754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bCs/>
                <w:sz w:val="22"/>
                <w:szCs w:val="22"/>
              </w:rPr>
              <w:t>Đạt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9F5D74E" w14:textId="77777777" w:rsidR="00C85A5B" w:rsidRPr="00CA3356" w:rsidRDefault="00C85A5B" w:rsidP="00F6754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bCs/>
                <w:sz w:val="22"/>
                <w:szCs w:val="22"/>
              </w:rPr>
              <w:t>Đạt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7518E06" w14:textId="77777777" w:rsidR="00C85A5B" w:rsidRPr="00CA3356" w:rsidRDefault="00C85A5B" w:rsidP="00F6754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bCs/>
                <w:sz w:val="22"/>
                <w:szCs w:val="22"/>
              </w:rPr>
              <w:t>Đạt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7EC248FA" w14:textId="77777777" w:rsidR="00C85A5B" w:rsidRPr="00CA3356" w:rsidRDefault="00C85A5B" w:rsidP="00F6754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bCs/>
                <w:sz w:val="22"/>
                <w:szCs w:val="22"/>
              </w:rPr>
              <w:t>Đạt</w:t>
            </w:r>
          </w:p>
        </w:tc>
      </w:tr>
    </w:tbl>
    <w:p w14:paraId="176085BF" w14:textId="77777777" w:rsidR="00C85A5B" w:rsidRPr="00CA3356" w:rsidRDefault="00C85A5B" w:rsidP="009628C0">
      <w:pPr>
        <w:spacing w:after="240"/>
        <w:ind w:firstLine="720"/>
        <w:rPr>
          <w:sz w:val="28"/>
          <w:szCs w:val="28"/>
        </w:rPr>
      </w:pPr>
    </w:p>
    <w:p w14:paraId="40A3B7E5" w14:textId="76E03380" w:rsidR="009628C0" w:rsidRPr="00CA3356" w:rsidRDefault="00632F16" w:rsidP="009628C0">
      <w:pPr>
        <w:spacing w:after="240"/>
        <w:ind w:firstLine="720"/>
        <w:rPr>
          <w:sz w:val="28"/>
          <w:szCs w:val="28"/>
        </w:rPr>
      </w:pPr>
      <w:r w:rsidRPr="00CA3356">
        <w:rPr>
          <w:sz w:val="28"/>
          <w:szCs w:val="28"/>
        </w:rPr>
        <w:t>2</w:t>
      </w:r>
      <w:r w:rsidR="009628C0" w:rsidRPr="00CA3356">
        <w:rPr>
          <w:sz w:val="28"/>
          <w:szCs w:val="28"/>
        </w:rPr>
        <w:t xml:space="preserve">. Sửa đổi </w:t>
      </w:r>
      <w:r w:rsidR="00175A80">
        <w:rPr>
          <w:sz w:val="28"/>
          <w:szCs w:val="28"/>
        </w:rPr>
        <w:t xml:space="preserve">chỉ tiêu 15.4 thuộc </w:t>
      </w:r>
      <w:r w:rsidR="009628C0" w:rsidRPr="00CA3356">
        <w:rPr>
          <w:sz w:val="28"/>
          <w:szCs w:val="28"/>
        </w:rPr>
        <w:t>tiêu chí số 15 về Y tế như sau:</w:t>
      </w:r>
    </w:p>
    <w:tbl>
      <w:tblPr>
        <w:tblW w:w="10158" w:type="dxa"/>
        <w:tblInd w:w="-5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4"/>
        <w:gridCol w:w="1963"/>
        <w:gridCol w:w="851"/>
        <w:gridCol w:w="850"/>
        <w:gridCol w:w="851"/>
        <w:gridCol w:w="850"/>
        <w:gridCol w:w="851"/>
        <w:gridCol w:w="992"/>
        <w:gridCol w:w="851"/>
        <w:gridCol w:w="708"/>
      </w:tblGrid>
      <w:tr w:rsidR="00CA3356" w:rsidRPr="00CA3356" w14:paraId="389EBAD3" w14:textId="77777777" w:rsidTr="00515EBD">
        <w:trPr>
          <w:trHeight w:val="596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122B59D" w14:textId="77777777" w:rsidR="005C6CAA" w:rsidRPr="00CA3356" w:rsidRDefault="005C6CAA" w:rsidP="002A38E6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14:paraId="0B9E429F" w14:textId="77777777" w:rsidR="005C6CAA" w:rsidRPr="00CA3356" w:rsidRDefault="005C6CAA" w:rsidP="002A38E6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>Tên tiêu chí</w:t>
            </w:r>
          </w:p>
        </w:tc>
        <w:tc>
          <w:tcPr>
            <w:tcW w:w="1963" w:type="dxa"/>
            <w:vMerge w:val="restart"/>
            <w:shd w:val="clear" w:color="auto" w:fill="auto"/>
            <w:vAlign w:val="center"/>
          </w:tcPr>
          <w:p w14:paraId="516E8788" w14:textId="77777777" w:rsidR="005C6CAA" w:rsidRPr="00CA3356" w:rsidRDefault="005C6CAA" w:rsidP="002A38E6">
            <w:pPr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>Nội dung tiêu chí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85247F9" w14:textId="77777777" w:rsidR="005C6CAA" w:rsidRPr="00CA3356" w:rsidRDefault="005C6CAA" w:rsidP="002A38E6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>Chỉ tiêu chung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279FCD96" w14:textId="77777777" w:rsidR="005C6CAA" w:rsidRPr="00CA3356" w:rsidRDefault="005C6CAA" w:rsidP="002A38E6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>Chỉ tiêu theo vùng</w:t>
            </w:r>
          </w:p>
        </w:tc>
      </w:tr>
      <w:tr w:rsidR="00CA3356" w:rsidRPr="00CA3356" w14:paraId="277002AC" w14:textId="77777777" w:rsidTr="00515EBD">
        <w:trPr>
          <w:trHeight w:val="1792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3C72077F" w14:textId="77777777" w:rsidR="005C6CAA" w:rsidRPr="00CA3356" w:rsidRDefault="005C6CAA" w:rsidP="002A38E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4" w:type="dxa"/>
            <w:vMerge/>
            <w:shd w:val="clear" w:color="auto" w:fill="auto"/>
            <w:vAlign w:val="center"/>
          </w:tcPr>
          <w:p w14:paraId="7D965A9D" w14:textId="77777777" w:rsidR="005C6CAA" w:rsidRPr="00CA3356" w:rsidRDefault="005C6CAA" w:rsidP="002A38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vMerge/>
            <w:shd w:val="clear" w:color="auto" w:fill="auto"/>
            <w:vAlign w:val="center"/>
          </w:tcPr>
          <w:p w14:paraId="0C1F442E" w14:textId="77777777" w:rsidR="005C6CAA" w:rsidRPr="00CA3356" w:rsidRDefault="005C6CAA" w:rsidP="002A38E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6875807" w14:textId="77777777" w:rsidR="005C6CAA" w:rsidRPr="00CA3356" w:rsidRDefault="005C6CAA" w:rsidP="002A38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48CAAD" w14:textId="77777777" w:rsidR="005C6CAA" w:rsidRPr="00CA3356" w:rsidRDefault="005C6CAA" w:rsidP="002A38E6">
            <w:pPr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CA3356">
              <w:rPr>
                <w:b/>
                <w:bCs/>
                <w:sz w:val="22"/>
                <w:szCs w:val="22"/>
                <w:lang w:val="de-DE"/>
              </w:rPr>
              <w:t>Trung du miền núi phía Bắc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942949" w14:textId="77777777" w:rsidR="005C6CAA" w:rsidRPr="00CA3356" w:rsidRDefault="005C6CAA" w:rsidP="002A38E6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>Đồng bằng sông Hồng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00B893" w14:textId="77777777" w:rsidR="005C6CAA" w:rsidRPr="00CA3356" w:rsidRDefault="005C6CAA" w:rsidP="002A38E6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>Bắc Trung Bộ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B5BE30" w14:textId="77777777" w:rsidR="005C6CAA" w:rsidRPr="00CA3356" w:rsidRDefault="005C6CAA" w:rsidP="002A38E6">
            <w:pPr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CA3356">
              <w:rPr>
                <w:b/>
                <w:bCs/>
                <w:sz w:val="22"/>
                <w:szCs w:val="22"/>
                <w:lang w:val="de-DE"/>
              </w:rPr>
              <w:t>Duyên hải Nam Trung Bộ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E08AA" w14:textId="77777777" w:rsidR="005C6CAA" w:rsidRPr="00CA3356" w:rsidRDefault="005C6CAA" w:rsidP="002A38E6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 xml:space="preserve">Tây </w:t>
            </w:r>
            <w:r w:rsidRPr="00CA3356">
              <w:rPr>
                <w:rFonts w:ascii="Times New Roman Bold" w:hAnsi="Times New Roman Bold"/>
                <w:b/>
                <w:bCs/>
                <w:spacing w:val="-16"/>
                <w:sz w:val="22"/>
                <w:szCs w:val="22"/>
              </w:rPr>
              <w:t>Nguyên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AF1157" w14:textId="77777777" w:rsidR="005C6CAA" w:rsidRPr="00CA3356" w:rsidRDefault="005C6CAA" w:rsidP="002A38E6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b/>
                <w:bCs/>
                <w:sz w:val="22"/>
                <w:szCs w:val="22"/>
              </w:rPr>
              <w:t>Đông Nam Bộ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38F731" w14:textId="77777777" w:rsidR="005C6CAA" w:rsidRPr="00CA3356" w:rsidRDefault="005C6CAA" w:rsidP="002A38E6">
            <w:pPr>
              <w:jc w:val="center"/>
              <w:rPr>
                <w:b/>
                <w:bCs/>
                <w:sz w:val="22"/>
                <w:szCs w:val="22"/>
              </w:rPr>
            </w:pPr>
            <w:r w:rsidRPr="00CA3356">
              <w:rPr>
                <w:rFonts w:ascii="Times New Roman Bold" w:hAnsi="Times New Roman Bold"/>
                <w:b/>
                <w:bCs/>
                <w:spacing w:val="-10"/>
                <w:sz w:val="22"/>
                <w:szCs w:val="22"/>
              </w:rPr>
              <w:t>Đồng</w:t>
            </w:r>
            <w:r w:rsidRPr="00CA3356">
              <w:rPr>
                <w:b/>
                <w:bCs/>
                <w:sz w:val="22"/>
                <w:szCs w:val="22"/>
              </w:rPr>
              <w:t xml:space="preserve"> bằng sông Cửu Long</w:t>
            </w:r>
          </w:p>
        </w:tc>
      </w:tr>
      <w:tr w:rsidR="00CA3356" w:rsidRPr="00CA3356" w14:paraId="7B6EF66A" w14:textId="77777777" w:rsidTr="003A6D86">
        <w:trPr>
          <w:trHeight w:val="1474"/>
        </w:trPr>
        <w:tc>
          <w:tcPr>
            <w:tcW w:w="567" w:type="dxa"/>
            <w:shd w:val="clear" w:color="auto" w:fill="FFFFFF"/>
            <w:vAlign w:val="center"/>
          </w:tcPr>
          <w:p w14:paraId="0F233B3B" w14:textId="4EC7E37D" w:rsidR="00576445" w:rsidRPr="00CA3356" w:rsidRDefault="00576445" w:rsidP="005764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1</w:t>
            </w:r>
            <w:r w:rsidRPr="00CA33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24" w:type="dxa"/>
            <w:shd w:val="clear" w:color="auto" w:fill="FFFFFF"/>
            <w:vAlign w:val="center"/>
          </w:tcPr>
          <w:p w14:paraId="55A4097E" w14:textId="2DF1D9BD" w:rsidR="00576445" w:rsidRPr="00CA3356" w:rsidRDefault="00576445" w:rsidP="005764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bCs/>
                <w:sz w:val="22"/>
                <w:szCs w:val="22"/>
              </w:rPr>
              <w:t>Y tế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110D166B" w14:textId="39B999B8" w:rsidR="00576445" w:rsidRPr="00CA3356" w:rsidRDefault="00576445" w:rsidP="00576445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15.4. Xã triển khai thực hiện sổ khám chữa bệnh điện tử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CF7997D" w14:textId="18EA2056" w:rsidR="00576445" w:rsidRPr="00CA3356" w:rsidRDefault="00576445" w:rsidP="005764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1C818B8" w14:textId="71D74BF4" w:rsidR="00576445" w:rsidRPr="00CA3356" w:rsidRDefault="00576445" w:rsidP="005764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469092F" w14:textId="6B89CB58" w:rsidR="00576445" w:rsidRPr="00CA3356" w:rsidRDefault="00576445" w:rsidP="005764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C922EB6" w14:textId="204AEAFA" w:rsidR="00576445" w:rsidRPr="00CA3356" w:rsidRDefault="00576445" w:rsidP="005764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F16BF66" w14:textId="752543F8" w:rsidR="00576445" w:rsidRPr="00CA3356" w:rsidRDefault="00576445" w:rsidP="005764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6B9B09B" w14:textId="31AD886A" w:rsidR="00576445" w:rsidRPr="00CA3356" w:rsidRDefault="00576445" w:rsidP="005764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48FA14" w14:textId="69572625" w:rsidR="00576445" w:rsidRPr="00CA3356" w:rsidRDefault="00576445" w:rsidP="005764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18376BD" w14:textId="4F5F38E6" w:rsidR="00576445" w:rsidRPr="00CA3356" w:rsidRDefault="00576445" w:rsidP="005764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</w:tr>
    </w:tbl>
    <w:p w14:paraId="1A870E17" w14:textId="77777777" w:rsidR="003C4ACD" w:rsidRPr="00CA3356" w:rsidRDefault="003C4ACD" w:rsidP="000D41D9">
      <w:pPr>
        <w:spacing w:after="240"/>
        <w:ind w:firstLine="720"/>
        <w:rPr>
          <w:sz w:val="28"/>
          <w:szCs w:val="28"/>
        </w:rPr>
      </w:pPr>
    </w:p>
    <w:p w14:paraId="38086445" w14:textId="0013CB98" w:rsidR="00980E81" w:rsidRPr="00CA3356" w:rsidRDefault="00632F16" w:rsidP="000D41D9">
      <w:pPr>
        <w:spacing w:after="240"/>
        <w:ind w:firstLine="720"/>
        <w:rPr>
          <w:sz w:val="28"/>
          <w:szCs w:val="28"/>
        </w:rPr>
      </w:pPr>
      <w:r w:rsidRPr="00CA3356">
        <w:rPr>
          <w:sz w:val="28"/>
          <w:szCs w:val="28"/>
        </w:rPr>
        <w:lastRenderedPageBreak/>
        <w:t>3</w:t>
      </w:r>
      <w:r w:rsidR="00583315" w:rsidRPr="00CA3356">
        <w:rPr>
          <w:sz w:val="28"/>
          <w:szCs w:val="28"/>
        </w:rPr>
        <w:t xml:space="preserve">. </w:t>
      </w:r>
      <w:r w:rsidR="00C468D7" w:rsidRPr="00CA3356">
        <w:rPr>
          <w:sz w:val="28"/>
          <w:szCs w:val="28"/>
        </w:rPr>
        <w:t>Sửa đổi</w:t>
      </w:r>
      <w:r w:rsidR="002A0004" w:rsidRPr="00CA3356">
        <w:rPr>
          <w:sz w:val="28"/>
          <w:szCs w:val="28"/>
        </w:rPr>
        <w:t xml:space="preserve"> </w:t>
      </w:r>
      <w:r w:rsidR="005C2066">
        <w:rPr>
          <w:sz w:val="28"/>
          <w:szCs w:val="28"/>
        </w:rPr>
        <w:t xml:space="preserve">chỉ tiêu 17.1 thuộc </w:t>
      </w:r>
      <w:r w:rsidR="00C468D7" w:rsidRPr="00CA3356">
        <w:rPr>
          <w:sz w:val="28"/>
          <w:szCs w:val="28"/>
        </w:rPr>
        <w:t xml:space="preserve">tiêu chí số 17 về Môi trường </w:t>
      </w:r>
      <w:r w:rsidR="004A3262" w:rsidRPr="00CA3356">
        <w:rPr>
          <w:sz w:val="28"/>
          <w:szCs w:val="28"/>
        </w:rPr>
        <w:t xml:space="preserve">và an toàn thực phẩm </w:t>
      </w:r>
      <w:r w:rsidR="00C468D7" w:rsidRPr="00CA3356">
        <w:rPr>
          <w:sz w:val="28"/>
          <w:szCs w:val="28"/>
        </w:rPr>
        <w:t>như sau: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06"/>
        <w:gridCol w:w="1247"/>
        <w:gridCol w:w="766"/>
        <w:gridCol w:w="792"/>
        <w:gridCol w:w="937"/>
        <w:gridCol w:w="906"/>
        <w:gridCol w:w="816"/>
        <w:gridCol w:w="841"/>
        <w:gridCol w:w="938"/>
        <w:gridCol w:w="766"/>
        <w:gridCol w:w="709"/>
      </w:tblGrid>
      <w:tr w:rsidR="00CA3356" w:rsidRPr="00CA3356" w14:paraId="3912FB8C" w14:textId="77777777" w:rsidTr="00EB2241">
        <w:trPr>
          <w:trHeight w:val="441"/>
          <w:tblHeader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BDBE" w14:textId="77777777" w:rsidR="00055239" w:rsidRPr="00CA3356" w:rsidRDefault="00055239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TT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D2BA" w14:textId="77777777" w:rsidR="00055239" w:rsidRPr="00CA3356" w:rsidRDefault="00055239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Tên tiêu chí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5F5" w14:textId="77777777" w:rsidR="00055239" w:rsidRPr="00CA3356" w:rsidRDefault="00055239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Nội dung tiêu chí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606B" w14:textId="77777777" w:rsidR="00055239" w:rsidRPr="00CA3356" w:rsidRDefault="00055239" w:rsidP="00EB2241">
            <w:pPr>
              <w:spacing w:before="100" w:beforeAutospacing="1" w:after="100" w:afterAutospacing="1"/>
              <w:ind w:right="-57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Chỉ tiêu chung</w:t>
            </w:r>
          </w:p>
        </w:tc>
        <w:tc>
          <w:tcPr>
            <w:tcW w:w="5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CF98" w14:textId="77777777" w:rsidR="00055239" w:rsidRPr="00CA3356" w:rsidRDefault="00055239" w:rsidP="00EB2241">
            <w:pPr>
              <w:spacing w:before="100" w:beforeAutospacing="1" w:after="100" w:afterAutospacing="1"/>
              <w:ind w:right="-57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Chỉ tiêu theo vùng</w:t>
            </w:r>
          </w:p>
        </w:tc>
      </w:tr>
      <w:tr w:rsidR="00CA3356" w:rsidRPr="00CA3356" w14:paraId="092B186F" w14:textId="77777777" w:rsidTr="00EB2241">
        <w:trPr>
          <w:trHeight w:val="1462"/>
          <w:tblHeader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F11E" w14:textId="77777777" w:rsidR="00055239" w:rsidRPr="00CA3356" w:rsidRDefault="00055239" w:rsidP="00EB2241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BC6" w14:textId="77777777" w:rsidR="00055239" w:rsidRPr="00CA3356" w:rsidRDefault="00055239" w:rsidP="00EB2241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0688" w14:textId="77777777" w:rsidR="00055239" w:rsidRPr="00CA3356" w:rsidRDefault="00055239" w:rsidP="00EB2241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73CF" w14:textId="77777777" w:rsidR="00055239" w:rsidRPr="00CA3356" w:rsidRDefault="00055239" w:rsidP="00EB2241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B554" w14:textId="77777777" w:rsidR="00055239" w:rsidRPr="00CA3356" w:rsidRDefault="00055239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Trung du miền núi phía Bắc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04ED" w14:textId="77777777" w:rsidR="00055239" w:rsidRPr="00CA3356" w:rsidRDefault="00055239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Đồng bằng sông Hồng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AE6C" w14:textId="77777777" w:rsidR="00055239" w:rsidRPr="00CA3356" w:rsidRDefault="00055239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Bắc Trung Bộ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3328" w14:textId="77777777" w:rsidR="00055239" w:rsidRPr="00CA3356" w:rsidRDefault="00055239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Duyên hải Nam Trung Bộ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8223" w14:textId="77777777" w:rsidR="00055239" w:rsidRPr="00CA3356" w:rsidRDefault="00055239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Tây Nguyên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5540" w14:textId="77777777" w:rsidR="00055239" w:rsidRPr="00CA3356" w:rsidRDefault="00055239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Đông Nam Bộ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5E9A" w14:textId="77777777" w:rsidR="00055239" w:rsidRPr="00CA3356" w:rsidRDefault="00055239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rFonts w:ascii="Times New Roman Bold" w:hAnsi="Times New Roman Bold"/>
                <w:b/>
                <w:bCs/>
                <w:spacing w:val="-12"/>
                <w:sz w:val="22"/>
                <w:szCs w:val="22"/>
                <w:lang w:val="en-GB"/>
              </w:rPr>
              <w:t>Đồng</w:t>
            </w:r>
            <w:r w:rsidRPr="00CA3356">
              <w:rPr>
                <w:b/>
                <w:bCs/>
                <w:sz w:val="22"/>
                <w:szCs w:val="22"/>
                <w:lang w:val="en-GB"/>
              </w:rPr>
              <w:t xml:space="preserve"> bằng sông Cửu Long</w:t>
            </w:r>
          </w:p>
        </w:tc>
      </w:tr>
      <w:tr w:rsidR="00CA3356" w:rsidRPr="00CA3356" w14:paraId="3842A653" w14:textId="77777777" w:rsidTr="00B2575D">
        <w:trPr>
          <w:trHeight w:val="847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A7710" w14:textId="77777777" w:rsidR="004E30A2" w:rsidRPr="00CA3356" w:rsidRDefault="004E30A2" w:rsidP="00EB2241">
            <w:pPr>
              <w:spacing w:before="20" w:after="20"/>
              <w:jc w:val="both"/>
              <w:rPr>
                <w:sz w:val="22"/>
                <w:szCs w:val="22"/>
                <w:lang w:val="en-GB"/>
              </w:rPr>
            </w:pPr>
            <w:r w:rsidRPr="00CA3356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66C0A" w14:textId="77777777" w:rsidR="004E30A2" w:rsidRPr="00CA3356" w:rsidRDefault="004E30A2" w:rsidP="00EB2241">
            <w:pPr>
              <w:spacing w:before="20" w:after="20"/>
              <w:jc w:val="center"/>
              <w:rPr>
                <w:sz w:val="22"/>
                <w:szCs w:val="22"/>
                <w:lang w:val="en-GB"/>
              </w:rPr>
            </w:pPr>
            <w:r w:rsidRPr="00CA3356">
              <w:rPr>
                <w:sz w:val="22"/>
                <w:szCs w:val="22"/>
                <w:lang w:val="en-GB"/>
              </w:rPr>
              <w:t>Môi trường và an toàn thực phẩm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BA390" w14:textId="77777777" w:rsidR="004E30A2" w:rsidRPr="00CA3356" w:rsidRDefault="004E30A2" w:rsidP="00EB2241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 xml:space="preserve">17.1. Tỷ lệ hộ được sử dụng nước sạch theo quy chuẩn 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E7C51" w14:textId="77777777" w:rsidR="004E30A2" w:rsidRPr="00CA3356" w:rsidRDefault="004E30A2" w:rsidP="00EB224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Xã không thuộc khu vực III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40153" w14:textId="77777777" w:rsidR="004E30A2" w:rsidRPr="00CA3356" w:rsidRDefault="004E30A2" w:rsidP="00EB224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≥45%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5470" w14:textId="01798DF7" w:rsidR="004E30A2" w:rsidRPr="00CA3356" w:rsidRDefault="004E30A2" w:rsidP="009D75B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≥30%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9F83" w14:textId="76243373" w:rsidR="004E30A2" w:rsidRPr="00CA3356" w:rsidRDefault="004E30A2" w:rsidP="009D75B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≥55%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908F" w14:textId="7849D854" w:rsidR="004E30A2" w:rsidRPr="00CA3356" w:rsidRDefault="004E30A2" w:rsidP="009D75B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≥45%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FF55" w14:textId="5A33C851" w:rsidR="004E30A2" w:rsidRPr="00CA3356" w:rsidRDefault="004E30A2" w:rsidP="009D75B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≥45%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EF7F" w14:textId="6F988165" w:rsidR="004E30A2" w:rsidRPr="00CA3356" w:rsidRDefault="004E30A2" w:rsidP="009D75B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≥30%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1FF6" w14:textId="16C1221E" w:rsidR="004E30A2" w:rsidRPr="00CA3356" w:rsidRDefault="004E30A2" w:rsidP="009D75B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≥55%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B085" w14:textId="4EC938F4" w:rsidR="004E30A2" w:rsidRPr="00CA3356" w:rsidRDefault="004E30A2" w:rsidP="009D75B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spacing w:val="-12"/>
                <w:sz w:val="22"/>
                <w:szCs w:val="22"/>
              </w:rPr>
              <w:t>≥45%</w:t>
            </w:r>
          </w:p>
        </w:tc>
      </w:tr>
      <w:tr w:rsidR="00CA3356" w:rsidRPr="00CA3356" w14:paraId="0C030D81" w14:textId="77777777" w:rsidTr="00580F71">
        <w:trPr>
          <w:trHeight w:val="84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8ADF9" w14:textId="77777777" w:rsidR="004E30A2" w:rsidRPr="00CA3356" w:rsidRDefault="004E30A2" w:rsidP="00EB2241">
            <w:pPr>
              <w:spacing w:before="20" w:after="2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6FBCE" w14:textId="77777777" w:rsidR="004E30A2" w:rsidRPr="00CA3356" w:rsidRDefault="004E30A2" w:rsidP="00EB2241">
            <w:pPr>
              <w:spacing w:before="20" w:after="2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6D936" w14:textId="77777777" w:rsidR="004E30A2" w:rsidRPr="00CA3356" w:rsidRDefault="004E30A2" w:rsidP="00EB2241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7E27B" w14:textId="77777777" w:rsidR="004E30A2" w:rsidRPr="00CA3356" w:rsidRDefault="004E30A2" w:rsidP="00EB224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70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EFB14" w14:textId="413106F8" w:rsidR="004E30A2" w:rsidRPr="00CA3356" w:rsidRDefault="004E30A2" w:rsidP="009D75BC">
            <w:pPr>
              <w:spacing w:before="60" w:after="60"/>
              <w:jc w:val="center"/>
              <w:rPr>
                <w:spacing w:val="-12"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UBND cấp tỉnh quy định cụ thể tỷ lệ hộ được sử dụng nước sạch theo quy chuẩn từ hệ thống cấp nước tập trung (nếu có)</w:t>
            </w:r>
          </w:p>
        </w:tc>
      </w:tr>
      <w:tr w:rsidR="00CA3356" w:rsidRPr="00CA3356" w14:paraId="5D565CD1" w14:textId="77777777" w:rsidTr="001453F8">
        <w:trPr>
          <w:trHeight w:val="84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D9DD1" w14:textId="77777777" w:rsidR="004E30A2" w:rsidRPr="00CA3356" w:rsidRDefault="004E30A2" w:rsidP="00F46E5B">
            <w:pPr>
              <w:spacing w:before="20" w:after="2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C6266" w14:textId="77777777" w:rsidR="004E30A2" w:rsidRPr="00CA3356" w:rsidRDefault="004E30A2" w:rsidP="00F46E5B">
            <w:pPr>
              <w:spacing w:before="20" w:after="2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7A61E" w14:textId="77777777" w:rsidR="004E30A2" w:rsidRPr="00CA3356" w:rsidRDefault="004E30A2" w:rsidP="00F46E5B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C962D" w14:textId="657C6441" w:rsidR="004E30A2" w:rsidRPr="00CA3356" w:rsidRDefault="004E30A2" w:rsidP="00F46E5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Xã khu vực III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A2EEA" w14:textId="78BD762D" w:rsidR="004E30A2" w:rsidRPr="00CA3356" w:rsidRDefault="004E30A2" w:rsidP="00F46E5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≥45%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966F" w14:textId="24E6CA7A" w:rsidR="004E30A2" w:rsidRPr="00CA3356" w:rsidRDefault="004E30A2" w:rsidP="00F46E5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≥20%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E87A" w14:textId="44F278B2" w:rsidR="004E30A2" w:rsidRPr="00CA3356" w:rsidRDefault="004E30A2" w:rsidP="00F46E5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≥55%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8D73" w14:textId="250D1E5B" w:rsidR="004E30A2" w:rsidRPr="00CA3356" w:rsidRDefault="004E30A2" w:rsidP="00F46E5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≥35%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5BCF" w14:textId="03524CCC" w:rsidR="004E30A2" w:rsidRPr="00CA3356" w:rsidRDefault="004E30A2" w:rsidP="00F46E5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≥35%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BE50" w14:textId="0758E962" w:rsidR="004E30A2" w:rsidRPr="00CA3356" w:rsidRDefault="004E30A2" w:rsidP="00F46E5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≥20%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B9AF" w14:textId="78FDFBB7" w:rsidR="004E30A2" w:rsidRPr="00CA3356" w:rsidRDefault="004E30A2" w:rsidP="00F46E5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≥55%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63DF" w14:textId="42AE8545" w:rsidR="004E30A2" w:rsidRPr="00CA3356" w:rsidRDefault="004E30A2" w:rsidP="00F46E5B">
            <w:pPr>
              <w:spacing w:before="60" w:after="60"/>
              <w:jc w:val="center"/>
              <w:rPr>
                <w:spacing w:val="-12"/>
                <w:sz w:val="22"/>
                <w:szCs w:val="22"/>
              </w:rPr>
            </w:pPr>
            <w:r w:rsidRPr="00CA3356">
              <w:rPr>
                <w:spacing w:val="-8"/>
                <w:sz w:val="22"/>
                <w:szCs w:val="22"/>
              </w:rPr>
              <w:t>≥45%</w:t>
            </w:r>
          </w:p>
        </w:tc>
      </w:tr>
      <w:tr w:rsidR="004E30A2" w:rsidRPr="00CA3356" w14:paraId="173BC05C" w14:textId="77777777" w:rsidTr="005411BD">
        <w:trPr>
          <w:trHeight w:val="84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9095C" w14:textId="77777777" w:rsidR="004E30A2" w:rsidRPr="00CA3356" w:rsidRDefault="004E30A2" w:rsidP="00F46E5B">
            <w:pPr>
              <w:spacing w:before="20" w:after="2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91059" w14:textId="77777777" w:rsidR="004E30A2" w:rsidRPr="00CA3356" w:rsidRDefault="004E30A2" w:rsidP="00F46E5B">
            <w:pPr>
              <w:spacing w:before="20" w:after="2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4FEF9" w14:textId="77777777" w:rsidR="004E30A2" w:rsidRPr="00CA3356" w:rsidRDefault="004E30A2" w:rsidP="00F46E5B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66BBB" w14:textId="77777777" w:rsidR="004E30A2" w:rsidRPr="00CA3356" w:rsidRDefault="004E30A2" w:rsidP="00F46E5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70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941BD" w14:textId="20AC0826" w:rsidR="004E30A2" w:rsidRPr="00CA3356" w:rsidRDefault="004E30A2" w:rsidP="00F46E5B">
            <w:pPr>
              <w:jc w:val="center"/>
              <w:rPr>
                <w:spacing w:val="-12"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UBND cấp tỉnh quy định cụ thể tỷ lệ hộ được sử dụng nước sạch theo quy chuẩn từ hệ thống cấp nước tập trung (nếu có)</w:t>
            </w:r>
          </w:p>
        </w:tc>
      </w:tr>
    </w:tbl>
    <w:p w14:paraId="5CC37DDF" w14:textId="77777777" w:rsidR="00925115" w:rsidRPr="00CA3356" w:rsidRDefault="00925115" w:rsidP="00E51191">
      <w:pPr>
        <w:spacing w:after="240"/>
        <w:ind w:firstLine="720"/>
        <w:jc w:val="both"/>
        <w:rPr>
          <w:spacing w:val="-4"/>
          <w:sz w:val="28"/>
          <w:szCs w:val="28"/>
        </w:rPr>
      </w:pPr>
    </w:p>
    <w:p w14:paraId="64117156" w14:textId="08CF722D" w:rsidR="00311BF5" w:rsidRPr="00CA3356" w:rsidRDefault="00632F16" w:rsidP="00E51191">
      <w:pPr>
        <w:spacing w:after="240"/>
        <w:ind w:firstLine="720"/>
        <w:jc w:val="both"/>
        <w:rPr>
          <w:sz w:val="28"/>
          <w:szCs w:val="28"/>
        </w:rPr>
      </w:pPr>
      <w:r w:rsidRPr="00CA3356">
        <w:rPr>
          <w:spacing w:val="-4"/>
          <w:sz w:val="28"/>
          <w:szCs w:val="28"/>
        </w:rPr>
        <w:t>4</w:t>
      </w:r>
      <w:r w:rsidR="004A3262" w:rsidRPr="00CA3356">
        <w:rPr>
          <w:spacing w:val="-4"/>
          <w:sz w:val="28"/>
          <w:szCs w:val="28"/>
        </w:rPr>
        <w:t>. Sửa đổi</w:t>
      </w:r>
      <w:r w:rsidR="00324F01">
        <w:rPr>
          <w:spacing w:val="-4"/>
          <w:sz w:val="28"/>
          <w:szCs w:val="28"/>
        </w:rPr>
        <w:t xml:space="preserve"> chỉ tiêu 18.4 thuộc</w:t>
      </w:r>
      <w:r w:rsidR="002A0004" w:rsidRPr="00CA3356">
        <w:rPr>
          <w:spacing w:val="-4"/>
          <w:sz w:val="28"/>
          <w:szCs w:val="28"/>
        </w:rPr>
        <w:t xml:space="preserve"> </w:t>
      </w:r>
      <w:r w:rsidR="004A3262" w:rsidRPr="00CA3356">
        <w:rPr>
          <w:spacing w:val="-4"/>
          <w:sz w:val="28"/>
          <w:szCs w:val="28"/>
        </w:rPr>
        <w:t xml:space="preserve">tiêu chí số </w:t>
      </w:r>
      <w:r w:rsidR="00C86A88" w:rsidRPr="00CA3356">
        <w:rPr>
          <w:spacing w:val="-4"/>
          <w:sz w:val="28"/>
          <w:szCs w:val="28"/>
        </w:rPr>
        <w:t>18 về Hệ thống chính trị và tiếp cận pháp luật như sau:</w:t>
      </w: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06"/>
        <w:gridCol w:w="780"/>
        <w:gridCol w:w="1417"/>
        <w:gridCol w:w="851"/>
        <w:gridCol w:w="930"/>
        <w:gridCol w:w="906"/>
        <w:gridCol w:w="816"/>
        <w:gridCol w:w="841"/>
        <w:gridCol w:w="938"/>
        <w:gridCol w:w="766"/>
        <w:gridCol w:w="721"/>
      </w:tblGrid>
      <w:tr w:rsidR="00CA3356" w:rsidRPr="00CA3356" w14:paraId="23F6D634" w14:textId="77777777" w:rsidTr="00B2575D">
        <w:trPr>
          <w:trHeight w:val="441"/>
          <w:tblHeader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6DC5" w14:textId="77777777" w:rsidR="00311BF5" w:rsidRPr="00CA3356" w:rsidRDefault="00311BF5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TT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E60D" w14:textId="77777777" w:rsidR="00311BF5" w:rsidRPr="00CA3356" w:rsidRDefault="00311BF5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Tên tiêu chí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3F23" w14:textId="77777777" w:rsidR="00311BF5" w:rsidRPr="00CA3356" w:rsidRDefault="00311BF5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Nội dung tiêu chí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0752" w14:textId="77777777" w:rsidR="00311BF5" w:rsidRPr="00CA3356" w:rsidRDefault="00311BF5" w:rsidP="00EB2241">
            <w:pPr>
              <w:spacing w:before="100" w:beforeAutospacing="1" w:after="100" w:afterAutospacing="1"/>
              <w:ind w:right="-57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Chỉ tiêu chung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93F4" w14:textId="77777777" w:rsidR="00311BF5" w:rsidRPr="00CA3356" w:rsidRDefault="00311BF5" w:rsidP="00EB2241">
            <w:pPr>
              <w:spacing w:before="100" w:beforeAutospacing="1" w:after="100" w:afterAutospacing="1"/>
              <w:ind w:right="-57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Chỉ tiêu theo vùng</w:t>
            </w:r>
          </w:p>
        </w:tc>
      </w:tr>
      <w:tr w:rsidR="00CA3356" w:rsidRPr="00CA3356" w14:paraId="45C9A260" w14:textId="77777777" w:rsidTr="00B2575D">
        <w:trPr>
          <w:trHeight w:val="1462"/>
          <w:tblHeader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4535" w14:textId="77777777" w:rsidR="00311BF5" w:rsidRPr="00CA3356" w:rsidRDefault="00311BF5" w:rsidP="00EB2241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E490" w14:textId="77777777" w:rsidR="00311BF5" w:rsidRPr="00CA3356" w:rsidRDefault="00311BF5" w:rsidP="00EB2241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27C8" w14:textId="77777777" w:rsidR="00311BF5" w:rsidRPr="00CA3356" w:rsidRDefault="00311BF5" w:rsidP="00EB2241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D15C" w14:textId="77777777" w:rsidR="00311BF5" w:rsidRPr="00CA3356" w:rsidRDefault="00311BF5" w:rsidP="00EB2241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AEFB" w14:textId="77777777" w:rsidR="00311BF5" w:rsidRPr="00CA3356" w:rsidRDefault="00311BF5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Trung du miền núi phía Bắc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B6FD" w14:textId="77777777" w:rsidR="00311BF5" w:rsidRPr="00CA3356" w:rsidRDefault="00311BF5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Đồng bằng sông Hồng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DFA6" w14:textId="77777777" w:rsidR="00311BF5" w:rsidRPr="00CA3356" w:rsidRDefault="00311BF5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Bắc Trung Bộ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D80C" w14:textId="77777777" w:rsidR="00311BF5" w:rsidRPr="00CA3356" w:rsidRDefault="00311BF5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Duyên hải Nam Trung Bộ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F7B0" w14:textId="77777777" w:rsidR="00311BF5" w:rsidRPr="00CA3356" w:rsidRDefault="00311BF5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Tây Nguyên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DEAC" w14:textId="77777777" w:rsidR="00311BF5" w:rsidRPr="00CA3356" w:rsidRDefault="00311BF5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b/>
                <w:bCs/>
                <w:sz w:val="22"/>
                <w:szCs w:val="22"/>
                <w:lang w:val="en-GB"/>
              </w:rPr>
              <w:t>Đông Nam Bộ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4E1E" w14:textId="77777777" w:rsidR="00311BF5" w:rsidRPr="00CA3356" w:rsidRDefault="00311BF5" w:rsidP="00EB2241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A3356">
              <w:rPr>
                <w:rFonts w:ascii="Times New Roman Bold" w:hAnsi="Times New Roman Bold"/>
                <w:b/>
                <w:bCs/>
                <w:spacing w:val="-12"/>
                <w:sz w:val="22"/>
                <w:szCs w:val="22"/>
                <w:lang w:val="en-GB"/>
              </w:rPr>
              <w:t>Đồng</w:t>
            </w:r>
            <w:r w:rsidRPr="00CA3356">
              <w:rPr>
                <w:b/>
                <w:bCs/>
                <w:sz w:val="22"/>
                <w:szCs w:val="22"/>
                <w:lang w:val="en-GB"/>
              </w:rPr>
              <w:t xml:space="preserve"> bằng sông Cửu Long</w:t>
            </w:r>
          </w:p>
        </w:tc>
      </w:tr>
      <w:tr w:rsidR="00CA3356" w:rsidRPr="00CA3356" w14:paraId="31B475EA" w14:textId="77777777" w:rsidTr="00B2575D">
        <w:trPr>
          <w:trHeight w:val="968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70FAB" w14:textId="555BFBF4" w:rsidR="00CA734D" w:rsidRPr="00CA3356" w:rsidRDefault="00CA734D" w:rsidP="0071463C">
            <w:pPr>
              <w:spacing w:before="20" w:after="20"/>
              <w:jc w:val="both"/>
              <w:rPr>
                <w:sz w:val="22"/>
                <w:szCs w:val="22"/>
                <w:lang w:val="en-GB"/>
              </w:rPr>
            </w:pPr>
            <w:r w:rsidRPr="00CA3356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10850" w14:textId="05A0667D" w:rsidR="00CA734D" w:rsidRPr="00CA3356" w:rsidRDefault="00CA734D" w:rsidP="0071463C">
            <w:pPr>
              <w:spacing w:before="20" w:after="20"/>
              <w:jc w:val="center"/>
              <w:rPr>
                <w:sz w:val="22"/>
                <w:szCs w:val="22"/>
                <w:lang w:val="en-GB"/>
              </w:rPr>
            </w:pPr>
            <w:r w:rsidRPr="00CA3356">
              <w:rPr>
                <w:sz w:val="22"/>
                <w:szCs w:val="22"/>
              </w:rPr>
              <w:t>Hệ thống chính trị và tiếp cận pháp luật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89BD7" w14:textId="7378906A" w:rsidR="00CA734D" w:rsidRPr="00CA3356" w:rsidRDefault="00CA734D" w:rsidP="008D6271">
            <w:pPr>
              <w:spacing w:before="60" w:after="60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18.4. Tiếp cận pháp luật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321D" w14:textId="20AFECDB" w:rsidR="00CA734D" w:rsidRPr="00CA3356" w:rsidRDefault="00CA734D" w:rsidP="006A2364">
            <w:pPr>
              <w:spacing w:before="60" w:after="60"/>
              <w:jc w:val="both"/>
              <w:rPr>
                <w:spacing w:val="-6"/>
                <w:sz w:val="22"/>
                <w:szCs w:val="22"/>
              </w:rPr>
            </w:pPr>
            <w:r w:rsidRPr="00CA3356">
              <w:rPr>
                <w:spacing w:val="-6"/>
                <w:sz w:val="22"/>
                <w:szCs w:val="22"/>
              </w:rPr>
              <w:t>a) Ban hành văn bản theo thẩm quyền để tổ chức và bảo đảm thi hành Hiến pháp và pháp luật trên địa bàn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666B" w14:textId="7F2C2F62" w:rsidR="00CA734D" w:rsidRPr="00CA3356" w:rsidRDefault="00CA734D" w:rsidP="0071463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CF37" w14:textId="37D4ACD1" w:rsidR="00CA734D" w:rsidRPr="00CA3356" w:rsidRDefault="00CA734D" w:rsidP="0071463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619A" w14:textId="0DC08DAA" w:rsidR="00CA734D" w:rsidRPr="00CA3356" w:rsidRDefault="00CA734D" w:rsidP="0071463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04A5" w14:textId="7E50EBE8" w:rsidR="00CA734D" w:rsidRPr="00CA3356" w:rsidRDefault="00CA734D" w:rsidP="0071463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486" w14:textId="21CCF5AC" w:rsidR="00CA734D" w:rsidRPr="00CA3356" w:rsidRDefault="00CA734D" w:rsidP="0071463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FF6C" w14:textId="7ADEC514" w:rsidR="00CA734D" w:rsidRPr="00CA3356" w:rsidRDefault="00CA734D" w:rsidP="0071463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8230" w14:textId="42E24924" w:rsidR="00CA734D" w:rsidRPr="00CA3356" w:rsidRDefault="00CA734D" w:rsidP="0071463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4EDF" w14:textId="1789894B" w:rsidR="00CA734D" w:rsidRPr="00CA3356" w:rsidRDefault="00CA734D" w:rsidP="0071463C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</w:tr>
      <w:tr w:rsidR="00CA3356" w:rsidRPr="00CA3356" w14:paraId="66CE86AA" w14:textId="77777777" w:rsidTr="00515EBD">
        <w:trPr>
          <w:trHeight w:val="123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4E842" w14:textId="77777777" w:rsidR="00CA734D" w:rsidRPr="00CA3356" w:rsidRDefault="00CA734D" w:rsidP="0071463C">
            <w:pPr>
              <w:spacing w:before="20" w:after="2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F1FBF" w14:textId="77777777" w:rsidR="00CA734D" w:rsidRPr="00CA3356" w:rsidRDefault="00CA734D" w:rsidP="0071463C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187EC" w14:textId="77777777" w:rsidR="00CA734D" w:rsidRPr="00CA3356" w:rsidRDefault="00CA734D" w:rsidP="0071463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6902" w14:textId="73F25A77" w:rsidR="00CA734D" w:rsidRPr="00CA3356" w:rsidRDefault="00CA734D" w:rsidP="006A2364">
            <w:pPr>
              <w:jc w:val="both"/>
              <w:rPr>
                <w:spacing w:val="-4"/>
                <w:sz w:val="22"/>
                <w:szCs w:val="22"/>
              </w:rPr>
            </w:pPr>
            <w:r w:rsidRPr="00CA3356">
              <w:rPr>
                <w:rStyle w:val="fontstyle01"/>
                <w:color w:val="auto"/>
                <w:spacing w:val="-4"/>
                <w:sz w:val="22"/>
                <w:szCs w:val="22"/>
              </w:rPr>
              <w:t>b) Tiếp cận thông tin, phổ biến, giáo dục pháp luật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7C46" w14:textId="0E61D3AA" w:rsidR="00CA734D" w:rsidRPr="00CA3356" w:rsidRDefault="00CA734D" w:rsidP="0071463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75C" w14:textId="74F69B8C" w:rsidR="00CA734D" w:rsidRPr="00CA3356" w:rsidRDefault="00CA734D" w:rsidP="0071463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AB85" w14:textId="2F077140" w:rsidR="00CA734D" w:rsidRPr="00CA3356" w:rsidRDefault="00CA734D" w:rsidP="0071463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0B20" w14:textId="01772895" w:rsidR="00CA734D" w:rsidRPr="00CA3356" w:rsidRDefault="00CA734D" w:rsidP="0071463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7D35" w14:textId="4EF9902A" w:rsidR="00CA734D" w:rsidRPr="00CA3356" w:rsidRDefault="00CA734D" w:rsidP="0071463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FEAB" w14:textId="4F3B7BCA" w:rsidR="00CA734D" w:rsidRPr="00CA3356" w:rsidRDefault="00CA734D" w:rsidP="0071463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A9B" w14:textId="7E1CBFDE" w:rsidR="00CA734D" w:rsidRPr="00CA3356" w:rsidRDefault="00CA734D" w:rsidP="0071463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4E10" w14:textId="1264BC3E" w:rsidR="00CA734D" w:rsidRPr="00CA3356" w:rsidRDefault="00CA734D" w:rsidP="0071463C">
            <w:pPr>
              <w:spacing w:before="60" w:after="60"/>
              <w:jc w:val="center"/>
              <w:rPr>
                <w:spacing w:val="-12"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</w:tr>
      <w:tr w:rsidR="00CA734D" w:rsidRPr="00CA3356" w14:paraId="40B36B97" w14:textId="77777777" w:rsidTr="00515EBD">
        <w:trPr>
          <w:trHeight w:val="97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E6C87" w14:textId="77777777" w:rsidR="00CA734D" w:rsidRPr="00CA3356" w:rsidRDefault="00CA734D" w:rsidP="0071463C">
            <w:pPr>
              <w:spacing w:before="20" w:after="2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64352" w14:textId="77777777" w:rsidR="00CA734D" w:rsidRPr="00CA3356" w:rsidRDefault="00CA734D" w:rsidP="0071463C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772E" w14:textId="77777777" w:rsidR="00CA734D" w:rsidRPr="00CA3356" w:rsidRDefault="00CA734D" w:rsidP="0071463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60A1D" w14:textId="57A51737" w:rsidR="00CA734D" w:rsidRPr="00CA3356" w:rsidRDefault="00CA734D" w:rsidP="006A2364">
            <w:pPr>
              <w:spacing w:before="60" w:after="60"/>
              <w:jc w:val="both"/>
              <w:rPr>
                <w:spacing w:val="-4"/>
                <w:sz w:val="22"/>
                <w:szCs w:val="22"/>
              </w:rPr>
            </w:pPr>
            <w:r w:rsidRPr="00CA3356">
              <w:rPr>
                <w:spacing w:val="-4"/>
                <w:sz w:val="22"/>
                <w:szCs w:val="22"/>
              </w:rPr>
              <w:t>c) Hòa giải ở cơ sở, trợ giúp pháp lý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EAB51" w14:textId="5A01EC5C" w:rsidR="00CA734D" w:rsidRPr="00CA3356" w:rsidRDefault="00CA734D" w:rsidP="0071463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FF6B" w14:textId="33BA50F5" w:rsidR="00CA734D" w:rsidRPr="00CA3356" w:rsidRDefault="00CA734D" w:rsidP="0071463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802A" w14:textId="4B906A75" w:rsidR="00CA734D" w:rsidRPr="00CA3356" w:rsidRDefault="00CA734D" w:rsidP="0071463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B25B" w14:textId="535C9500" w:rsidR="00CA734D" w:rsidRPr="00CA3356" w:rsidRDefault="00CA734D" w:rsidP="0071463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4ADD" w14:textId="571C7C70" w:rsidR="00CA734D" w:rsidRPr="00CA3356" w:rsidRDefault="00CA734D" w:rsidP="0071463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D926" w14:textId="3808C109" w:rsidR="00CA734D" w:rsidRPr="00CA3356" w:rsidRDefault="00CA734D" w:rsidP="0071463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70FB" w14:textId="2FF9A707" w:rsidR="00CA734D" w:rsidRPr="00CA3356" w:rsidRDefault="00CA734D" w:rsidP="0071463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0F6B" w14:textId="3D9660A1" w:rsidR="00CA734D" w:rsidRPr="00CA3356" w:rsidRDefault="00CA734D" w:rsidP="0071463C">
            <w:pPr>
              <w:spacing w:before="60" w:after="60"/>
              <w:jc w:val="center"/>
              <w:rPr>
                <w:spacing w:val="-12"/>
                <w:sz w:val="22"/>
                <w:szCs w:val="22"/>
              </w:rPr>
            </w:pPr>
            <w:r w:rsidRPr="00CA3356">
              <w:rPr>
                <w:sz w:val="22"/>
                <w:szCs w:val="22"/>
              </w:rPr>
              <w:t>Đạt</w:t>
            </w:r>
          </w:p>
        </w:tc>
      </w:tr>
    </w:tbl>
    <w:p w14:paraId="4CC159C5" w14:textId="2CFAD803" w:rsidR="00C468D7" w:rsidRPr="00CA3356" w:rsidRDefault="00C468D7">
      <w:pPr>
        <w:rPr>
          <w:sz w:val="28"/>
          <w:szCs w:val="28"/>
        </w:rPr>
      </w:pPr>
    </w:p>
    <w:sectPr w:rsidR="00C468D7" w:rsidRPr="00CA3356" w:rsidSect="00022C0A">
      <w:headerReference w:type="default" r:id="rId7"/>
      <w:pgSz w:w="11906" w:h="16838" w:code="9"/>
      <w:pgMar w:top="1134" w:right="1134" w:bottom="1134" w:left="1701" w:header="709" w:footer="25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6757" w14:textId="77777777" w:rsidR="00944539" w:rsidRDefault="00944539" w:rsidP="00E6488C">
      <w:r>
        <w:separator/>
      </w:r>
    </w:p>
  </w:endnote>
  <w:endnote w:type="continuationSeparator" w:id="0">
    <w:p w14:paraId="29DE456C" w14:textId="77777777" w:rsidR="00944539" w:rsidRDefault="00944539" w:rsidP="00E6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FDBF" w14:textId="77777777" w:rsidR="00944539" w:rsidRDefault="00944539" w:rsidP="00E6488C">
      <w:r>
        <w:separator/>
      </w:r>
    </w:p>
  </w:footnote>
  <w:footnote w:type="continuationSeparator" w:id="0">
    <w:p w14:paraId="2053BC5B" w14:textId="77777777" w:rsidR="00944539" w:rsidRDefault="00944539" w:rsidP="00E6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3687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112838" w14:textId="30AE4962" w:rsidR="00E6488C" w:rsidRDefault="00E648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72815"/>
    <w:multiLevelType w:val="hybridMultilevel"/>
    <w:tmpl w:val="05945322"/>
    <w:lvl w:ilvl="0" w:tplc="8422A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587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1F"/>
    <w:rsid w:val="000003F9"/>
    <w:rsid w:val="00016E45"/>
    <w:rsid w:val="00022C0A"/>
    <w:rsid w:val="000341EB"/>
    <w:rsid w:val="00054057"/>
    <w:rsid w:val="00055239"/>
    <w:rsid w:val="00063351"/>
    <w:rsid w:val="000C08AE"/>
    <w:rsid w:val="000C52F9"/>
    <w:rsid w:val="000D41D9"/>
    <w:rsid w:val="000F1BC2"/>
    <w:rsid w:val="001205A5"/>
    <w:rsid w:val="00137791"/>
    <w:rsid w:val="00137C0B"/>
    <w:rsid w:val="001453F8"/>
    <w:rsid w:val="00170945"/>
    <w:rsid w:val="00171B96"/>
    <w:rsid w:val="00175A80"/>
    <w:rsid w:val="001903A8"/>
    <w:rsid w:val="001B0DB6"/>
    <w:rsid w:val="001C499C"/>
    <w:rsid w:val="0022571B"/>
    <w:rsid w:val="00240FBA"/>
    <w:rsid w:val="002546FC"/>
    <w:rsid w:val="00275C2B"/>
    <w:rsid w:val="00297F54"/>
    <w:rsid w:val="002A0004"/>
    <w:rsid w:val="002B7051"/>
    <w:rsid w:val="002C0C4C"/>
    <w:rsid w:val="002C1B02"/>
    <w:rsid w:val="00311BF5"/>
    <w:rsid w:val="00324F01"/>
    <w:rsid w:val="003330E3"/>
    <w:rsid w:val="00363EFE"/>
    <w:rsid w:val="00371DBF"/>
    <w:rsid w:val="0039238E"/>
    <w:rsid w:val="003927CF"/>
    <w:rsid w:val="003A6D86"/>
    <w:rsid w:val="003C2EA9"/>
    <w:rsid w:val="003C4ACD"/>
    <w:rsid w:val="003C7E29"/>
    <w:rsid w:val="003E2A08"/>
    <w:rsid w:val="00402AFE"/>
    <w:rsid w:val="00415FA7"/>
    <w:rsid w:val="00430444"/>
    <w:rsid w:val="00441CBA"/>
    <w:rsid w:val="00471374"/>
    <w:rsid w:val="004719F1"/>
    <w:rsid w:val="0048311E"/>
    <w:rsid w:val="00492DCD"/>
    <w:rsid w:val="004A27F2"/>
    <w:rsid w:val="004A3262"/>
    <w:rsid w:val="004B02D0"/>
    <w:rsid w:val="004B67F4"/>
    <w:rsid w:val="004D0FB5"/>
    <w:rsid w:val="004E30A2"/>
    <w:rsid w:val="004E7524"/>
    <w:rsid w:val="004F61C4"/>
    <w:rsid w:val="004F7454"/>
    <w:rsid w:val="00507F56"/>
    <w:rsid w:val="00515EBD"/>
    <w:rsid w:val="005552AB"/>
    <w:rsid w:val="00576445"/>
    <w:rsid w:val="00583315"/>
    <w:rsid w:val="00586EE4"/>
    <w:rsid w:val="005C2066"/>
    <w:rsid w:val="005C41C3"/>
    <w:rsid w:val="005C6CAA"/>
    <w:rsid w:val="005D75F0"/>
    <w:rsid w:val="005E016D"/>
    <w:rsid w:val="00624D3B"/>
    <w:rsid w:val="00632F16"/>
    <w:rsid w:val="006343AC"/>
    <w:rsid w:val="00637830"/>
    <w:rsid w:val="00675754"/>
    <w:rsid w:val="006831EC"/>
    <w:rsid w:val="00694413"/>
    <w:rsid w:val="006A2364"/>
    <w:rsid w:val="006B017B"/>
    <w:rsid w:val="006B1CE8"/>
    <w:rsid w:val="006B7D58"/>
    <w:rsid w:val="006F0164"/>
    <w:rsid w:val="006F3B0E"/>
    <w:rsid w:val="00712200"/>
    <w:rsid w:val="0071463C"/>
    <w:rsid w:val="00720F75"/>
    <w:rsid w:val="00724BDC"/>
    <w:rsid w:val="00746015"/>
    <w:rsid w:val="00757404"/>
    <w:rsid w:val="00764687"/>
    <w:rsid w:val="00780D75"/>
    <w:rsid w:val="007C3BB3"/>
    <w:rsid w:val="007C54D8"/>
    <w:rsid w:val="007C5957"/>
    <w:rsid w:val="007E6DAE"/>
    <w:rsid w:val="00802354"/>
    <w:rsid w:val="00826705"/>
    <w:rsid w:val="00826A1B"/>
    <w:rsid w:val="00833FCC"/>
    <w:rsid w:val="00856756"/>
    <w:rsid w:val="008627CE"/>
    <w:rsid w:val="008873BB"/>
    <w:rsid w:val="008B2C39"/>
    <w:rsid w:val="008C3887"/>
    <w:rsid w:val="008C4DD5"/>
    <w:rsid w:val="008C7BFA"/>
    <w:rsid w:val="008D1C34"/>
    <w:rsid w:val="008D6271"/>
    <w:rsid w:val="008E2F72"/>
    <w:rsid w:val="00925115"/>
    <w:rsid w:val="009252BD"/>
    <w:rsid w:val="00944539"/>
    <w:rsid w:val="00950D2C"/>
    <w:rsid w:val="009628C0"/>
    <w:rsid w:val="00980E81"/>
    <w:rsid w:val="009A049A"/>
    <w:rsid w:val="009A607F"/>
    <w:rsid w:val="009D1E64"/>
    <w:rsid w:val="009D75BC"/>
    <w:rsid w:val="009E1E04"/>
    <w:rsid w:val="009F5490"/>
    <w:rsid w:val="00A23135"/>
    <w:rsid w:val="00A3519C"/>
    <w:rsid w:val="00A3716F"/>
    <w:rsid w:val="00A54B7D"/>
    <w:rsid w:val="00A72558"/>
    <w:rsid w:val="00A77184"/>
    <w:rsid w:val="00A90F63"/>
    <w:rsid w:val="00A91027"/>
    <w:rsid w:val="00AB6103"/>
    <w:rsid w:val="00AC3CFB"/>
    <w:rsid w:val="00AD6905"/>
    <w:rsid w:val="00B20F64"/>
    <w:rsid w:val="00B2575D"/>
    <w:rsid w:val="00B42138"/>
    <w:rsid w:val="00B619E0"/>
    <w:rsid w:val="00B62694"/>
    <w:rsid w:val="00B6632B"/>
    <w:rsid w:val="00B83E08"/>
    <w:rsid w:val="00B96F42"/>
    <w:rsid w:val="00BA08AE"/>
    <w:rsid w:val="00BB38B2"/>
    <w:rsid w:val="00BE3433"/>
    <w:rsid w:val="00C34233"/>
    <w:rsid w:val="00C342B0"/>
    <w:rsid w:val="00C368CB"/>
    <w:rsid w:val="00C424E3"/>
    <w:rsid w:val="00C468D7"/>
    <w:rsid w:val="00C55E65"/>
    <w:rsid w:val="00C70FBE"/>
    <w:rsid w:val="00C730D2"/>
    <w:rsid w:val="00C75FD1"/>
    <w:rsid w:val="00C76B33"/>
    <w:rsid w:val="00C85A5B"/>
    <w:rsid w:val="00C85C52"/>
    <w:rsid w:val="00C866ED"/>
    <w:rsid w:val="00C86A88"/>
    <w:rsid w:val="00C91B41"/>
    <w:rsid w:val="00CA3356"/>
    <w:rsid w:val="00CA734D"/>
    <w:rsid w:val="00CB635F"/>
    <w:rsid w:val="00CC4EC0"/>
    <w:rsid w:val="00CE36A4"/>
    <w:rsid w:val="00CE71D8"/>
    <w:rsid w:val="00D22E24"/>
    <w:rsid w:val="00D66359"/>
    <w:rsid w:val="00D73E8C"/>
    <w:rsid w:val="00DA461F"/>
    <w:rsid w:val="00DD191F"/>
    <w:rsid w:val="00E36B89"/>
    <w:rsid w:val="00E378BA"/>
    <w:rsid w:val="00E407FE"/>
    <w:rsid w:val="00E51191"/>
    <w:rsid w:val="00E51AAE"/>
    <w:rsid w:val="00E6488C"/>
    <w:rsid w:val="00E833A5"/>
    <w:rsid w:val="00E927F1"/>
    <w:rsid w:val="00EB0CDA"/>
    <w:rsid w:val="00EB306A"/>
    <w:rsid w:val="00EE0C90"/>
    <w:rsid w:val="00EE2FB4"/>
    <w:rsid w:val="00F24C3B"/>
    <w:rsid w:val="00F420FD"/>
    <w:rsid w:val="00F46D88"/>
    <w:rsid w:val="00F46E5B"/>
    <w:rsid w:val="00F61132"/>
    <w:rsid w:val="00FB1A1C"/>
    <w:rsid w:val="00FC077F"/>
    <w:rsid w:val="00F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E762A"/>
  <w15:chartTrackingRefBased/>
  <w15:docId w15:val="{AB39B33E-76C2-4F8A-A1EB-D2F5ED35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1F"/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315"/>
    <w:pPr>
      <w:ind w:left="720"/>
      <w:contextualSpacing/>
    </w:pPr>
  </w:style>
  <w:style w:type="character" w:customStyle="1" w:styleId="fontstyle01">
    <w:name w:val="fontstyle01"/>
    <w:basedOn w:val="DefaultParagraphFont"/>
    <w:rsid w:val="007574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48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88C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4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88C"/>
    <w:rPr>
      <w:rFonts w:eastAsia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5552AB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Hương Nguyễn</cp:lastModifiedBy>
  <cp:revision>156</cp:revision>
  <cp:lastPrinted>2023-11-24T01:40:00Z</cp:lastPrinted>
  <dcterms:created xsi:type="dcterms:W3CDTF">2023-05-30T02:01:00Z</dcterms:created>
  <dcterms:modified xsi:type="dcterms:W3CDTF">2023-11-24T01:46:00Z</dcterms:modified>
</cp:coreProperties>
</file>